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ED" w:rsidRPr="00A739ED" w:rsidRDefault="00A739ED" w:rsidP="00A739E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A739ED">
        <w:rPr>
          <w:rFonts w:ascii="Times New Roman" w:hAnsi="Times New Roman" w:cs="Times New Roman"/>
          <w:b/>
          <w:sz w:val="36"/>
          <w:szCs w:val="36"/>
          <w:lang w:val="uk-UA"/>
        </w:rPr>
        <w:t>Роз’яснення щодо подання суб’єктами декларування декларації про майно, доходи, витрати і зобов’язання фінансового характеру</w:t>
      </w:r>
    </w:p>
    <w:bookmarkEnd w:id="0"/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пункту 2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XIII «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proofErr w:type="gram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gramStart"/>
      <w:r w:rsidRPr="00A739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».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».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ідпункту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а пункту 2,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4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особи,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Закону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прирівнюються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особи,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за формою,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9E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службова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особа»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правозастосовної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практики, 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пункту 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364,  пункту 2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368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особи до кола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ізаційно-розпорядчих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іністративно-господарських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Постанова Пленуму Верховного Суду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2002 року № 5 «Про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судову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практику у справах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хабарництво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: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r w:rsidRPr="00A739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розпорядчі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галуззю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заступники,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(начальники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завідуючі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відділами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лабораторіями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кафедрами),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заступники, особи,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виконроби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бригадири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).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r w:rsidRPr="00A739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іністративно-господарські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розпорядженню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є у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начальників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планово-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постачальних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служб,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завідуючих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складами, магазинами,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майстернями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ательє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ідділів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відомчих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ревізорів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контролерів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9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підпункту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а пункту 2,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4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до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 формою і в порядку,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належать: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заступники, особи,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наділенні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організаційно-розпорядчі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адміністративно-господарські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закладах I-IV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пункту 2 Порядку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характеру,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банку-нерезидента,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739E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2012  № 16,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кадрових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9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lastRenderedPageBreak/>
        <w:t>Додатково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інформуємо</w:t>
      </w:r>
      <w:proofErr w:type="gramStart"/>
      <w:r w:rsidRPr="00A739ED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абзацу другого,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припиняють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охоплений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деклараціями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звільнилися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r w:rsidRPr="00A739ED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gramStart"/>
      <w:r w:rsidRPr="00A739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охоплений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деклараціями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з метою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(особами)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своєчасності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A739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39ED">
        <w:rPr>
          <w:rFonts w:ascii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абзацу другого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орган, орган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орган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суб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’єкта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центральному органу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оформленій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 формою і в порядку,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», не належать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доступом,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».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r w:rsidRPr="00A739ED">
        <w:rPr>
          <w:rFonts w:ascii="Times New Roman" w:hAnsi="Times New Roman" w:cs="Times New Roman"/>
          <w:sz w:val="28"/>
          <w:szCs w:val="28"/>
        </w:rPr>
        <w:lastRenderedPageBreak/>
        <w:t xml:space="preserve">Такою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proofErr w:type="gramStart"/>
      <w:r w:rsidRPr="00A739E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739ED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номера паспорта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позиціях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2, 23 –34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p w:rsidR="00A739ED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</w:p>
    <w:p w:rsidR="00AA16C7" w:rsidRPr="00A739ED" w:rsidRDefault="00A739ED" w:rsidP="00A73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9ED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A739ED">
        <w:rPr>
          <w:rFonts w:ascii="Times New Roman" w:hAnsi="Times New Roman" w:cs="Times New Roman"/>
          <w:sz w:val="28"/>
          <w:szCs w:val="28"/>
        </w:rPr>
        <w:t>.</w:t>
      </w:r>
    </w:p>
    <w:sectPr w:rsidR="00AA16C7" w:rsidRPr="00A7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ED"/>
    <w:rsid w:val="00A739ED"/>
    <w:rsid w:val="00A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2016-02-10T12:03:00Z</dcterms:created>
  <dcterms:modified xsi:type="dcterms:W3CDTF">2016-02-10T12:06:00Z</dcterms:modified>
</cp:coreProperties>
</file>