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5F7C" w:rsidP="00975F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ВЧЕНУ РАДУ</w:t>
      </w:r>
    </w:p>
    <w:p w:rsidR="00975F7C" w:rsidRDefault="00975F7C" w:rsidP="00975F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НАЦІОНЛЬНОГО УНІВЕРСИТЕТУ</w:t>
      </w:r>
    </w:p>
    <w:p w:rsidR="00975F7C" w:rsidRDefault="00975F7C" w:rsidP="00975F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В.О. СУХОМЛИНСЬКОГО</w:t>
      </w:r>
    </w:p>
    <w:p w:rsidR="00975F7C" w:rsidRDefault="00975F7C" w:rsidP="00975F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відповідно до Закону України «Про вищу освіту» від 01.07.2014 року, нормативно-правових актів Міністерства освіти і науки України, Статуту Миколаївського національного університету імені В.О. Сухомлинського. </w:t>
      </w:r>
    </w:p>
    <w:p w:rsidR="00975F7C" w:rsidRDefault="00C90358" w:rsidP="00975F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  <w:r w:rsidR="00975F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5F7C" w:rsidRDefault="00975F7C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Вчена рада Миколаївського національного університету є колегіальним органом. Вчену раду очолює її голова, за відсутності – заступник голови. Секретарем вченої ради є вчений секретар.</w:t>
      </w:r>
      <w:r w:rsidR="003476B2">
        <w:rPr>
          <w:rFonts w:ascii="Times New Roman" w:hAnsi="Times New Roman" w:cs="Times New Roman"/>
          <w:sz w:val="28"/>
          <w:szCs w:val="28"/>
          <w:lang w:val="uk-UA"/>
        </w:rPr>
        <w:t xml:space="preserve"> Вчена рада Університету обирається строком на 7 років.</w:t>
      </w:r>
    </w:p>
    <w:p w:rsidR="005B53EE" w:rsidRDefault="00975F7C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вченої ради входять за посадами ректор, проректори, декани (директори) факультетів (інститутів), вчений секретар, головний бухгалтер, ке</w:t>
      </w:r>
      <w:r w:rsidR="005B53EE">
        <w:rPr>
          <w:rFonts w:ascii="Times New Roman" w:hAnsi="Times New Roman" w:cs="Times New Roman"/>
          <w:sz w:val="28"/>
          <w:szCs w:val="28"/>
          <w:lang w:val="uk-UA"/>
        </w:rPr>
        <w:t>рівники органів самоврядування та виборних органів первинних профспілкових організацій працівників Миколаївського національного університету імені В.О. Сухомлинського, а також виборні представники, які представляють наукових, науково-педагогічних працівників і обираються з числа завідувачів кафедр, професорів, докторів філософії, докторів наук, виборні представники, які представляють інших працівників Університету.</w:t>
      </w:r>
    </w:p>
    <w:p w:rsidR="00072758" w:rsidRDefault="00072758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підготовки засідань вченої ради Університету здійснює вчений секретар. Відповідає за якість підготовки матеріалів проректор А.Л.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758" w:rsidRDefault="00072758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проводиться щомісячно в четвертий вівторок місяця, якщо інший термін не визначений головою вченої ради. Засідання вченої ради можуть проводитися також у разі потреби.</w:t>
      </w:r>
    </w:p>
    <w:p w:rsidR="00072758" w:rsidRDefault="00835162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п</w:t>
      </w:r>
      <w:r w:rsidR="00072758">
        <w:rPr>
          <w:rFonts w:ascii="Times New Roman" w:hAnsi="Times New Roman" w:cs="Times New Roman"/>
          <w:sz w:val="28"/>
          <w:szCs w:val="28"/>
          <w:lang w:val="uk-UA"/>
        </w:rPr>
        <w:t>лану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вченої ради формується проректором із наукової роботи Університету за пропозиціями інститутів, факультетів, кафедр, коледжу, структурних підрозділів Університету, що подаються ними не пізніше ніж за 20 днів до початку навчального року.</w:t>
      </w:r>
    </w:p>
    <w:p w:rsidR="00835162" w:rsidRDefault="00835162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вченої ради на навчальний рік розглядається вченою радою та затверджується ректором не пізніше ніж за тиждень до навчального року.</w:t>
      </w:r>
    </w:p>
    <w:p w:rsidR="005B53EE" w:rsidRDefault="005B53EE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Вибори до складу вченої ради починаються за 30 календарних днів до закінчення повноважень  попереднього складу вченої ради.</w:t>
      </w:r>
    </w:p>
    <w:p w:rsidR="008E156B" w:rsidRDefault="005B53EE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Виборні представники з числа працівників Університету обираються вищим колегіальним органом громадського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Університету</w:t>
      </w:r>
      <w:r w:rsidR="008E156B">
        <w:rPr>
          <w:rFonts w:ascii="Times New Roman" w:hAnsi="Times New Roman" w:cs="Times New Roman"/>
          <w:sz w:val="28"/>
          <w:szCs w:val="28"/>
          <w:lang w:val="uk-UA"/>
        </w:rPr>
        <w:t xml:space="preserve"> за поданням структурних підрозділів, у яких вони працюють, а виборні представники з числа студентів обираються студентами шляхом прямих таємних виборів. </w:t>
      </w:r>
    </w:p>
    <w:p w:rsidR="008E156B" w:rsidRDefault="008E156B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Персональний склад вченої ради затверджується наказом ректора протягом п’яти робочих днів з дня закінчення повноважень попереднього складу вченої ради.</w:t>
      </w:r>
    </w:p>
    <w:p w:rsidR="008E156B" w:rsidRDefault="008E156B" w:rsidP="005B53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вченої ради вводяться в дію наказами Ректора Університету.</w:t>
      </w:r>
    </w:p>
    <w:p w:rsidR="008E156B" w:rsidRDefault="008E156B" w:rsidP="008E15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2.ОСНОВНІ ЗАВДАННЯ ВЧЕНОЇ РАДИ</w:t>
      </w:r>
    </w:p>
    <w:p w:rsidR="008E156B" w:rsidRDefault="008E156B" w:rsidP="008E1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Вчена рада визначає стратегію і перспективні напрями розвитку освітньої, наукової  та інноваційної діяльності Університету</w:t>
      </w:r>
    </w:p>
    <w:p w:rsidR="008E156B" w:rsidRDefault="008E156B" w:rsidP="008E1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476B2">
        <w:rPr>
          <w:rFonts w:ascii="Times New Roman" w:hAnsi="Times New Roman" w:cs="Times New Roman"/>
          <w:sz w:val="28"/>
          <w:szCs w:val="28"/>
          <w:lang w:val="uk-UA"/>
        </w:rPr>
        <w:t xml:space="preserve">Визначає систему та затверджує процедури внутрішнього забезпечення якості вищої освіти. </w:t>
      </w:r>
    </w:p>
    <w:p w:rsidR="00835162" w:rsidRDefault="00835162" w:rsidP="008E1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 компетенції вченої ради належать:</w:t>
      </w:r>
    </w:p>
    <w:p w:rsidR="00835162" w:rsidRDefault="00835162" w:rsidP="008E15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затвердження Статуту Університету та змін і доповнень до нього;</w:t>
      </w:r>
    </w:p>
    <w:p w:rsidR="00975F7C" w:rsidRDefault="00835162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ухвалення фінансового плану та звіту Університету;</w:t>
      </w:r>
    </w:p>
    <w:p w:rsidR="00835162" w:rsidRDefault="00835162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подання пропозицій ректору щодо призначення та звільнення з посади директора бібліотеки, директорів інститутів, проректорів і головного бухгалтера Університету;</w:t>
      </w:r>
    </w:p>
    <w:p w:rsidR="00835162" w:rsidRDefault="00835162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обрання на посаду таємним голосуванням завідувачів кафедр та професорів;</w:t>
      </w:r>
    </w:p>
    <w:p w:rsidR="00835162" w:rsidRDefault="00835162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771F">
        <w:rPr>
          <w:rFonts w:ascii="Times New Roman" w:hAnsi="Times New Roman" w:cs="Times New Roman"/>
          <w:sz w:val="28"/>
          <w:szCs w:val="28"/>
          <w:lang w:val="uk-UA"/>
        </w:rPr>
        <w:t>ухвалення навчальних планів та навчальних програм;</w:t>
      </w:r>
    </w:p>
    <w:p w:rsidR="0063771F" w:rsidRDefault="0063771F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ухвалення рішень із питань організації навчально-виховного процесу;</w:t>
      </w:r>
    </w:p>
    <w:p w:rsidR="0063771F" w:rsidRDefault="0063771F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ухвалення основних напрямів наукових досліджень;</w:t>
      </w:r>
    </w:p>
    <w:p w:rsidR="0063771F" w:rsidRDefault="0063771F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оцінка діяльності структурних підрозділів Університету;</w:t>
      </w:r>
    </w:p>
    <w:p w:rsidR="0063771F" w:rsidRDefault="0063771F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приймає рішення щодо кандидатур для присвоєння вчених звань доцента, професора.</w:t>
      </w:r>
    </w:p>
    <w:p w:rsidR="0063771F" w:rsidRDefault="0063771F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приймає рішення про призначення наукового керівника;</w:t>
      </w:r>
    </w:p>
    <w:p w:rsidR="0063771F" w:rsidRDefault="0063771F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приймає рішення про відкрит</w:t>
      </w:r>
      <w:r w:rsidR="00B354D4">
        <w:rPr>
          <w:rFonts w:ascii="Times New Roman" w:hAnsi="Times New Roman" w:cs="Times New Roman"/>
          <w:sz w:val="28"/>
          <w:szCs w:val="28"/>
          <w:lang w:val="uk-UA"/>
        </w:rPr>
        <w:t>тя аспірантури або докторантури, затверджує тему дисертацій.</w:t>
      </w:r>
    </w:p>
    <w:p w:rsidR="0063771F" w:rsidRDefault="0063771F" w:rsidP="008351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Розглядає інші питання</w:t>
      </w:r>
      <w:r w:rsidR="00B354D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Університету відповідно до його статуту. </w:t>
      </w:r>
    </w:p>
    <w:p w:rsidR="00B354D4" w:rsidRDefault="00B354D4" w:rsidP="008351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4D4" w:rsidRPr="00C90358" w:rsidRDefault="00C90358" w:rsidP="00C90358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354D4" w:rsidRPr="00C90358">
        <w:rPr>
          <w:rFonts w:ascii="Times New Roman" w:hAnsi="Times New Roman" w:cs="Times New Roman"/>
          <w:sz w:val="28"/>
          <w:szCs w:val="28"/>
          <w:lang w:val="uk-UA"/>
        </w:rPr>
        <w:t>ОРГАНІЗАЦІЯ РОБОТИ ВЧЕНОЇ РАДИ:</w:t>
      </w:r>
    </w:p>
    <w:p w:rsidR="00B354D4" w:rsidRDefault="00B354D4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Вчена рада здійснює свою діяльність на принципах колегіальності.</w:t>
      </w:r>
    </w:p>
    <w:p w:rsidR="00B354D4" w:rsidRDefault="00B354D4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Вчена рада збирається не менше одного разу на місяць. Для вирішення невідкладних питань проводиться позачергове засідання вченої ради, яке може бути скликане за ініціативою ректора, або ректорату. День проведення засідань – останній </w:t>
      </w:r>
      <w:r w:rsidR="00FD6E50">
        <w:rPr>
          <w:rFonts w:ascii="Times New Roman" w:hAnsi="Times New Roman" w:cs="Times New Roman"/>
          <w:sz w:val="28"/>
          <w:szCs w:val="28"/>
          <w:lang w:val="uk-UA"/>
        </w:rPr>
        <w:t>вівторок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кожного місяця, початок роботи о 10-годині.</w:t>
      </w:r>
    </w:p>
    <w:p w:rsidR="00B354D4" w:rsidRDefault="00B354D4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проводить голова, а за його відсутності – заступник.</w:t>
      </w:r>
    </w:p>
    <w:p w:rsidR="00B354D4" w:rsidRDefault="00B354D4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є правомірним, якщо на ньому присутні не менше двох третин її членів.</w:t>
      </w:r>
    </w:p>
    <w:p w:rsidR="00B354D4" w:rsidRDefault="00B354D4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три дні до засідання вченої ради вчений секретар подає ректору порядок ведення засідання ради, тексти доповідей</w:t>
      </w:r>
      <w:r w:rsidR="00142840">
        <w:rPr>
          <w:rFonts w:ascii="Times New Roman" w:hAnsi="Times New Roman" w:cs="Times New Roman"/>
          <w:sz w:val="28"/>
          <w:szCs w:val="28"/>
          <w:lang w:val="uk-UA"/>
        </w:rPr>
        <w:t xml:space="preserve"> або аналітичних записок із питань порядку денного, проект рішень та інші матеріали.</w:t>
      </w:r>
    </w:p>
    <w:p w:rsidR="00142840" w:rsidRDefault="00142840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 вченої ради запрошуються члени ради, керівники структурних підрозділів та особи, які мають безпосереднє відношення до питань, що розглядаються. Запрошення цих осіб здійснює вчений секретар за погодженням із головою ради.</w:t>
      </w:r>
    </w:p>
    <w:p w:rsidR="00142840" w:rsidRDefault="00142840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вченої ради ведеться протокол, у якому фіксуються хід та результати проведеного засідання.</w:t>
      </w:r>
    </w:p>
    <w:p w:rsidR="00142840" w:rsidRDefault="00142840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засідань вченої ради Університету зберігаються у вченого секретаря та у встановленому порядку після закінчення планового періоду передаються до архіву.</w:t>
      </w:r>
    </w:p>
    <w:p w:rsidR="00142840" w:rsidRDefault="00142840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Доопрацювання рішень вченої ради з урахуванням зауважень та пропозицій членів ради проводять службові особи, які готували відповідні проекти у п’ятиденний термін, якщо радою не встановлений інший.</w:t>
      </w:r>
    </w:p>
    <w:p w:rsidR="00FD6E50" w:rsidRDefault="00142840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Вчений секретар забезпечує опрацювання документів після розгляду, а також загальний контроль за виконанням рішень ради. Контроль за виконанням </w:t>
      </w:r>
      <w:r w:rsidR="00FD6E50">
        <w:rPr>
          <w:rFonts w:ascii="Times New Roman" w:hAnsi="Times New Roman" w:cs="Times New Roman"/>
          <w:sz w:val="28"/>
          <w:szCs w:val="28"/>
          <w:lang w:val="uk-UA"/>
        </w:rPr>
        <w:t>конкретних рішень вченої ради здійснюють проректори відповідно до закріплених обов’язків.</w:t>
      </w:r>
    </w:p>
    <w:p w:rsidR="00FD6E50" w:rsidRDefault="00FD6E50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вченої ради вводять в дію наказами та розпорядженнями ректора Університету.</w:t>
      </w:r>
    </w:p>
    <w:p w:rsidR="00142840" w:rsidRDefault="00FD6E50" w:rsidP="00FD6E5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Університеті можуть діяти вчені ради й інших структурних підрозділів: інститутів та факультетів. </w:t>
      </w:r>
      <w:r w:rsidR="00142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6E50" w:rsidRDefault="00FD6E50" w:rsidP="00FD6E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E50" w:rsidRPr="00C90358" w:rsidRDefault="00C90358" w:rsidP="00C90358">
      <w:pPr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77A14" w:rsidRPr="00C90358">
        <w:rPr>
          <w:rFonts w:ascii="Times New Roman" w:hAnsi="Times New Roman" w:cs="Times New Roman"/>
          <w:sz w:val="28"/>
          <w:szCs w:val="28"/>
          <w:lang w:val="uk-UA"/>
        </w:rPr>
        <w:t>ПОВНОВАЖЕННЯ ВЧЕНОЇ РАДИ, ЩО ДЕЛЕГУЮТЬСЯ ВЧЕНИМ РАДАМ ФАКУОТЕТІВ (ІНСТИТУТІВ)</w:t>
      </w:r>
    </w:p>
    <w:p w:rsidR="00177A14" w:rsidRDefault="00177A14" w:rsidP="00177A14">
      <w:pPr>
        <w:pStyle w:val="a3"/>
        <w:ind w:left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Вчена рада факультету (інституту):</w:t>
      </w:r>
    </w:p>
    <w:p w:rsidR="00177A14" w:rsidRDefault="00177A14" w:rsidP="00177A14">
      <w:pPr>
        <w:pStyle w:val="a3"/>
        <w:numPr>
          <w:ilvl w:val="0"/>
          <w:numId w:val="5"/>
        </w:numPr>
        <w:ind w:left="0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визначає загальні напрями наукової діяльності факультету (інституту);</w:t>
      </w:r>
    </w:p>
    <w:p w:rsidR="00177A14" w:rsidRDefault="00177A14" w:rsidP="00177A14">
      <w:pPr>
        <w:pStyle w:val="a3"/>
        <w:numPr>
          <w:ilvl w:val="0"/>
          <w:numId w:val="5"/>
        </w:numPr>
        <w:ind w:left="0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обирає таємним голосуванням заступника голови вченої ради з числа членів вченої ради, які мають науковий ступінь доктора (кандидата) наук та/або вчене звання професора (доцента) на термін діяльності вченої ради;</w:t>
      </w:r>
    </w:p>
    <w:p w:rsidR="00177A14" w:rsidRDefault="00177A14" w:rsidP="00177A14">
      <w:pPr>
        <w:pStyle w:val="a3"/>
        <w:numPr>
          <w:ilvl w:val="0"/>
          <w:numId w:val="5"/>
        </w:numPr>
        <w:ind w:left="0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рекомендує таємним голосуванням вченій раді Університету кандидатури для обрання на посаду декана (директора) факультету (інституту), професора, завідувача кафедри;</w:t>
      </w:r>
    </w:p>
    <w:p w:rsidR="00177A14" w:rsidRDefault="00177A14" w:rsidP="00177A14">
      <w:pPr>
        <w:pStyle w:val="a3"/>
        <w:numPr>
          <w:ilvl w:val="0"/>
          <w:numId w:val="5"/>
        </w:numPr>
        <w:ind w:left="0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заслуховує звіти декана (директора) факультету (інституту), завідувачів кафедр, керівників інших підрозділів та інших осіб;</w:t>
      </w:r>
    </w:p>
    <w:p w:rsidR="00177A14" w:rsidRDefault="00177A14" w:rsidP="00177A14">
      <w:pPr>
        <w:pStyle w:val="a3"/>
        <w:numPr>
          <w:ilvl w:val="0"/>
          <w:numId w:val="5"/>
        </w:numPr>
        <w:ind w:left="0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вирішує питання організації </w:t>
      </w:r>
      <w:r w:rsidR="00C90358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 на факультеті (інституті);</w:t>
      </w:r>
    </w:p>
    <w:p w:rsidR="00C90358" w:rsidRPr="00B354D4" w:rsidRDefault="00C90358" w:rsidP="00177A14">
      <w:pPr>
        <w:pStyle w:val="a3"/>
        <w:numPr>
          <w:ilvl w:val="0"/>
          <w:numId w:val="5"/>
        </w:numPr>
        <w:ind w:left="0" w:firstLine="7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розглядає інші питання, які належать до її компетенції, пов’язані з діяльністю факультету (інституту).</w:t>
      </w:r>
    </w:p>
    <w:sectPr w:rsidR="00C90358" w:rsidRPr="00B3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3BF"/>
    <w:multiLevelType w:val="hybridMultilevel"/>
    <w:tmpl w:val="662619F2"/>
    <w:lvl w:ilvl="0" w:tplc="F8C08D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0B2199"/>
    <w:multiLevelType w:val="hybridMultilevel"/>
    <w:tmpl w:val="11CC40C4"/>
    <w:lvl w:ilvl="0" w:tplc="3F1EED2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21190205"/>
    <w:multiLevelType w:val="hybridMultilevel"/>
    <w:tmpl w:val="11429128"/>
    <w:lvl w:ilvl="0" w:tplc="FE688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23532"/>
    <w:multiLevelType w:val="hybridMultilevel"/>
    <w:tmpl w:val="E39A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3D9F"/>
    <w:multiLevelType w:val="hybridMultilevel"/>
    <w:tmpl w:val="29F89CD2"/>
    <w:lvl w:ilvl="0" w:tplc="1F345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75F7C"/>
    <w:rsid w:val="00072758"/>
    <w:rsid w:val="00142840"/>
    <w:rsid w:val="00177A14"/>
    <w:rsid w:val="003476B2"/>
    <w:rsid w:val="005B53EE"/>
    <w:rsid w:val="0063771F"/>
    <w:rsid w:val="00835162"/>
    <w:rsid w:val="008E156B"/>
    <w:rsid w:val="00975F7C"/>
    <w:rsid w:val="00B354D4"/>
    <w:rsid w:val="00C90358"/>
    <w:rsid w:val="00FD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2015-03-16T17:26:00Z</dcterms:created>
  <dcterms:modified xsi:type="dcterms:W3CDTF">2015-03-16T19:25:00Z</dcterms:modified>
</cp:coreProperties>
</file>